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C8B1E5"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395A0D85"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0A51C933"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6725B7AA"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0AA2E103"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59315E81"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5BFA2ADA"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76742AEE" w14:textId="49F98FF4" w:rsidR="008A0539" w:rsidRPr="00364D82" w:rsidRDefault="006E27AF" w:rsidP="008A053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Patient </w:t>
      </w:r>
      <w:proofErr w:type="spellStart"/>
      <w:r>
        <w:rPr>
          <w:rFonts w:ascii="Times New Roman" w:hAnsi="Times New Roman" w:cs="Times New Roman"/>
          <w:sz w:val="24"/>
          <w:szCs w:val="24"/>
        </w:rPr>
        <w:t>Assesment</w:t>
      </w:r>
      <w:proofErr w:type="spellEnd"/>
    </w:p>
    <w:p w14:paraId="4401368D" w14:textId="499DD4D7" w:rsidR="00493B5B" w:rsidRPr="00364D82" w:rsidRDefault="00493B5B" w:rsidP="00364D82">
      <w:pPr>
        <w:spacing w:line="480" w:lineRule="auto"/>
        <w:ind w:firstLine="720"/>
        <w:jc w:val="center"/>
        <w:rPr>
          <w:rFonts w:ascii="Times New Roman" w:hAnsi="Times New Roman" w:cs="Times New Roman"/>
          <w:sz w:val="24"/>
          <w:szCs w:val="24"/>
        </w:rPr>
      </w:pPr>
      <w:r w:rsidRPr="00364D82">
        <w:rPr>
          <w:rFonts w:ascii="Times New Roman" w:hAnsi="Times New Roman" w:cs="Times New Roman"/>
          <w:sz w:val="24"/>
          <w:szCs w:val="24"/>
        </w:rPr>
        <w:t>Student’s Name</w:t>
      </w:r>
    </w:p>
    <w:p w14:paraId="46FB05D6" w14:textId="1A24B18D" w:rsidR="00493B5B" w:rsidRPr="00364D82" w:rsidRDefault="00493B5B" w:rsidP="00364D82">
      <w:pPr>
        <w:spacing w:line="480" w:lineRule="auto"/>
        <w:ind w:firstLine="720"/>
        <w:jc w:val="center"/>
        <w:rPr>
          <w:rFonts w:ascii="Times New Roman" w:eastAsia="Times New Roman" w:hAnsi="Times New Roman" w:cs="Times New Roman"/>
          <w:sz w:val="24"/>
          <w:szCs w:val="24"/>
        </w:rPr>
      </w:pPr>
      <w:r w:rsidRPr="00364D82">
        <w:rPr>
          <w:rFonts w:ascii="Times New Roman" w:hAnsi="Times New Roman" w:cs="Times New Roman"/>
          <w:sz w:val="24"/>
          <w:szCs w:val="24"/>
        </w:rPr>
        <w:t>Institution Affiliation</w:t>
      </w:r>
    </w:p>
    <w:p w14:paraId="70705BB9" w14:textId="77777777" w:rsidR="00493B5B" w:rsidRPr="00364D82" w:rsidRDefault="00493B5B" w:rsidP="00364D82">
      <w:pPr>
        <w:spacing w:line="480" w:lineRule="auto"/>
        <w:ind w:firstLine="720"/>
        <w:jc w:val="center"/>
        <w:rPr>
          <w:rFonts w:ascii="Times New Roman" w:eastAsia="Times New Roman" w:hAnsi="Times New Roman" w:cs="Times New Roman"/>
          <w:sz w:val="24"/>
          <w:szCs w:val="24"/>
        </w:rPr>
      </w:pPr>
    </w:p>
    <w:p w14:paraId="66D6BD86" w14:textId="6594B9AC" w:rsidR="00493B5B" w:rsidRPr="00364D82" w:rsidRDefault="00493B5B" w:rsidP="00364D82">
      <w:pPr>
        <w:spacing w:line="480" w:lineRule="auto"/>
        <w:ind w:firstLine="720"/>
        <w:rPr>
          <w:rFonts w:ascii="Times New Roman" w:eastAsia="Times New Roman" w:hAnsi="Times New Roman" w:cs="Times New Roman"/>
          <w:sz w:val="24"/>
          <w:szCs w:val="24"/>
        </w:rPr>
      </w:pPr>
    </w:p>
    <w:p w14:paraId="15A3D94C" w14:textId="49D3FBF8" w:rsidR="00493B5B" w:rsidRPr="00364D82" w:rsidRDefault="00493B5B" w:rsidP="00364D82">
      <w:pPr>
        <w:spacing w:line="480" w:lineRule="auto"/>
        <w:ind w:firstLine="720"/>
        <w:rPr>
          <w:rFonts w:ascii="Times New Roman" w:eastAsia="Times New Roman" w:hAnsi="Times New Roman" w:cs="Times New Roman"/>
          <w:sz w:val="24"/>
          <w:szCs w:val="24"/>
        </w:rPr>
      </w:pPr>
    </w:p>
    <w:p w14:paraId="64763E3F" w14:textId="273ED8F8" w:rsidR="00493B5B" w:rsidRPr="00364D82" w:rsidRDefault="00493B5B" w:rsidP="00364D82">
      <w:pPr>
        <w:spacing w:line="480" w:lineRule="auto"/>
        <w:ind w:firstLine="720"/>
        <w:rPr>
          <w:rFonts w:ascii="Times New Roman" w:eastAsia="Times New Roman" w:hAnsi="Times New Roman" w:cs="Times New Roman"/>
          <w:sz w:val="24"/>
          <w:szCs w:val="24"/>
        </w:rPr>
      </w:pPr>
    </w:p>
    <w:p w14:paraId="31167304" w14:textId="454740E3" w:rsidR="00493B5B" w:rsidRPr="00364D82" w:rsidRDefault="00493B5B" w:rsidP="00364D82">
      <w:pPr>
        <w:spacing w:line="480" w:lineRule="auto"/>
        <w:ind w:firstLine="720"/>
        <w:rPr>
          <w:rFonts w:ascii="Times New Roman" w:eastAsia="Times New Roman" w:hAnsi="Times New Roman" w:cs="Times New Roman"/>
          <w:sz w:val="24"/>
          <w:szCs w:val="24"/>
        </w:rPr>
      </w:pPr>
    </w:p>
    <w:p w14:paraId="59911589" w14:textId="2DF41724" w:rsidR="00493B5B" w:rsidRPr="00364D82" w:rsidRDefault="00493B5B" w:rsidP="00364D82">
      <w:pPr>
        <w:spacing w:line="480" w:lineRule="auto"/>
        <w:ind w:firstLine="720"/>
        <w:rPr>
          <w:rFonts w:ascii="Times New Roman" w:eastAsia="Times New Roman" w:hAnsi="Times New Roman" w:cs="Times New Roman"/>
          <w:sz w:val="24"/>
          <w:szCs w:val="24"/>
        </w:rPr>
      </w:pPr>
    </w:p>
    <w:p w14:paraId="64056832"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24C53888" w14:textId="77777777" w:rsidR="00493B5B" w:rsidRPr="00364D82" w:rsidRDefault="00493B5B" w:rsidP="00364D82">
      <w:pPr>
        <w:spacing w:line="480" w:lineRule="auto"/>
        <w:ind w:firstLine="720"/>
        <w:rPr>
          <w:rFonts w:ascii="Times New Roman" w:eastAsia="Times New Roman" w:hAnsi="Times New Roman" w:cs="Times New Roman"/>
          <w:sz w:val="24"/>
          <w:szCs w:val="24"/>
        </w:rPr>
      </w:pPr>
    </w:p>
    <w:p w14:paraId="25CE0D0D" w14:textId="6780ED5F" w:rsidR="00493B5B" w:rsidRDefault="006E27AF" w:rsidP="00364D82">
      <w:pPr>
        <w:spacing w:line="480" w:lineRule="auto"/>
        <w:ind w:firstLine="720"/>
        <w:jc w:val="center"/>
        <w:rPr>
          <w:rFonts w:ascii="Times New Roman" w:hAnsi="Times New Roman" w:cs="Times New Roman"/>
          <w:sz w:val="24"/>
          <w:szCs w:val="24"/>
        </w:rPr>
      </w:pPr>
      <w:bookmarkStart w:id="0" w:name="_Hlk45304047"/>
      <w:r>
        <w:rPr>
          <w:rFonts w:ascii="Times New Roman" w:hAnsi="Times New Roman" w:cs="Times New Roman"/>
          <w:sz w:val="24"/>
          <w:szCs w:val="24"/>
        </w:rPr>
        <w:lastRenderedPageBreak/>
        <w:t>Patient Assessment</w:t>
      </w:r>
    </w:p>
    <w:bookmarkEnd w:id="0"/>
    <w:p w14:paraId="557F19AB" w14:textId="77777777" w:rsidR="006E27AF" w:rsidRPr="00C602DB" w:rsidRDefault="006E27AF" w:rsidP="006E27AF">
      <w:pPr>
        <w:spacing w:line="480" w:lineRule="auto"/>
        <w:jc w:val="center"/>
        <w:rPr>
          <w:rFonts w:ascii="Times New Roman" w:hAnsi="Times New Roman" w:cs="Times New Roman"/>
          <w:b/>
          <w:bCs/>
          <w:sz w:val="24"/>
          <w:szCs w:val="24"/>
          <w:shd w:val="clear" w:color="auto" w:fill="FFFFFF"/>
        </w:rPr>
      </w:pPr>
      <w:r w:rsidRPr="00C602DB">
        <w:rPr>
          <w:rFonts w:ascii="Times New Roman" w:hAnsi="Times New Roman" w:cs="Times New Roman"/>
          <w:b/>
          <w:bCs/>
          <w:sz w:val="24"/>
          <w:szCs w:val="24"/>
          <w:shd w:val="clear" w:color="auto" w:fill="FFFFFF"/>
        </w:rPr>
        <w:t>Introduction</w:t>
      </w:r>
    </w:p>
    <w:p w14:paraId="08088825" w14:textId="77777777" w:rsidR="006E27AF" w:rsidRPr="00C602DB" w:rsidRDefault="006E27AF" w:rsidP="006E27AF">
      <w:pPr>
        <w:spacing w:line="480" w:lineRule="auto"/>
        <w:ind w:firstLine="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 xml:space="preserve">Patient assessment refers to the process that medical practitioners use to identify and address the life-threatening conditions of the patients. Patient assessment is a very significant process in the healthcare system. Through patient assessment, the nurses can come up with important information that will facilitate the delivery of patient-centered care </w:t>
      </w:r>
      <w:sdt>
        <w:sdtPr>
          <w:rPr>
            <w:rFonts w:ascii="Times New Roman" w:hAnsi="Times New Roman" w:cs="Times New Roman"/>
            <w:sz w:val="24"/>
            <w:szCs w:val="24"/>
            <w:shd w:val="clear" w:color="auto" w:fill="FFFFFF"/>
          </w:rPr>
          <w:id w:val="1795253483"/>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Con15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(Considine &amp; Currey, 2015)</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xml:space="preserve">. Generally, there are five steps of carrying out patient assessment and they include performing a scene size-up, performing a primary assessment, obtaining the medical history of the patient, and performing a secondary assessment before providing assessment </w:t>
      </w:r>
      <w:sdt>
        <w:sdtPr>
          <w:rPr>
            <w:rFonts w:ascii="Times New Roman" w:hAnsi="Times New Roman" w:cs="Times New Roman"/>
            <w:sz w:val="24"/>
            <w:szCs w:val="24"/>
            <w:shd w:val="clear" w:color="auto" w:fill="FFFFFF"/>
          </w:rPr>
          <w:id w:val="-1726833713"/>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Hag16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(Hagiwara et al., 2016)</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xml:space="preserve">. This paper will seek to explore each step of patient assessment in detail. </w:t>
      </w:r>
    </w:p>
    <w:p w14:paraId="4A5BB0CF" w14:textId="77777777" w:rsidR="006E27AF" w:rsidRPr="00C602DB" w:rsidRDefault="006E27AF" w:rsidP="006E27AF">
      <w:pPr>
        <w:spacing w:line="480" w:lineRule="auto"/>
        <w:ind w:firstLine="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The first step is scene size up. The scene size-up is the first step that the emergency medical service (EMS) crew takes once they arrive at the scene of an emergency to ensure the safety of their safety and that of the patients as well as bystanders. Four components of scene size exist and they include a number of patients. In a multiple causality incident, the EMS crew will try to get the exact number of patients in the scene before implementing incident management principles</w:t>
      </w:r>
      <w:sdt>
        <w:sdtPr>
          <w:rPr>
            <w:rFonts w:ascii="Times New Roman" w:hAnsi="Times New Roman" w:cs="Times New Roman"/>
            <w:sz w:val="24"/>
            <w:szCs w:val="24"/>
            <w:shd w:val="clear" w:color="auto" w:fill="FFFFFF"/>
          </w:rPr>
          <w:id w:val="594907252"/>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Pil16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 xml:space="preserve"> (Pillay et al., 2016)</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xml:space="preserve">. After getting the exact number of patients, the EMS crew will then focus on examining the mechanism and the intensity of the injury. The third component is determining the resources required to facilitate incident management principles. The fourth step is maintaining the standard precautions by following the body substance isolation (BSI) procedure.  </w:t>
      </w:r>
    </w:p>
    <w:p w14:paraId="3A9AC5F9" w14:textId="77777777" w:rsidR="006E27AF" w:rsidRPr="00C602DB" w:rsidRDefault="006E27AF" w:rsidP="006E27AF">
      <w:pPr>
        <w:spacing w:line="480" w:lineRule="auto"/>
        <w:ind w:firstLine="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 xml:space="preserve">The second step of the patient assessment is a primary assessment. Primary assessment refers to the initial evaluation of the patient in the field that is carried out after the scene has been </w:t>
      </w:r>
      <w:r w:rsidRPr="00C602DB">
        <w:rPr>
          <w:rFonts w:ascii="Times New Roman" w:hAnsi="Times New Roman" w:cs="Times New Roman"/>
          <w:sz w:val="24"/>
          <w:szCs w:val="24"/>
          <w:shd w:val="clear" w:color="auto" w:fill="FFFFFF"/>
        </w:rPr>
        <w:lastRenderedPageBreak/>
        <w:t xml:space="preserve">made safe </w:t>
      </w:r>
      <w:sdt>
        <w:sdtPr>
          <w:rPr>
            <w:rFonts w:ascii="Times New Roman" w:hAnsi="Times New Roman" w:cs="Times New Roman"/>
            <w:sz w:val="24"/>
            <w:szCs w:val="24"/>
            <w:shd w:val="clear" w:color="auto" w:fill="FFFFFF"/>
          </w:rPr>
          <w:id w:val="-1688829450"/>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Con15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(Considine &amp; Currey, 2015)</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The sequence of conducting the primary assessment involves the level of consciousness, patient response, airway status, breathing status, circulatory status, and identifying life threats</w:t>
      </w:r>
      <w:sdt>
        <w:sdtPr>
          <w:rPr>
            <w:rFonts w:ascii="Times New Roman" w:hAnsi="Times New Roman" w:cs="Times New Roman"/>
            <w:sz w:val="24"/>
            <w:szCs w:val="24"/>
            <w:shd w:val="clear" w:color="auto" w:fill="FFFFFF"/>
          </w:rPr>
          <w:id w:val="-751507004"/>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Hag16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 xml:space="preserve"> (Hagiwara et al., 2016)</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Also, assessment of vital functions and integration of treatment procedures to preserve life is carried out in the process of primary assessment.</w:t>
      </w:r>
    </w:p>
    <w:p w14:paraId="5EA9B3F4" w14:textId="77777777" w:rsidR="006E27AF" w:rsidRPr="00C602DB" w:rsidRDefault="006E27AF" w:rsidP="006E27AF">
      <w:pPr>
        <w:spacing w:line="480" w:lineRule="auto"/>
        <w:ind w:firstLine="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 xml:space="preserve">After carrying out the primary assessment, the third step will be obtaining the patient’s medical history. The reason for obtaining the medical history of the patient is to get relevant data from both the patient and his family that will facilitate the creation of the plan for the effective delivery of patient-centered care </w:t>
      </w:r>
      <w:sdt>
        <w:sdtPr>
          <w:rPr>
            <w:rFonts w:ascii="Times New Roman" w:hAnsi="Times New Roman" w:cs="Times New Roman"/>
            <w:sz w:val="24"/>
            <w:szCs w:val="24"/>
            <w:shd w:val="clear" w:color="auto" w:fill="FFFFFF"/>
          </w:rPr>
          <w:id w:val="-1963875739"/>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Pil16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(Pillay et al., 2016)</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The health history checklist includes information such as the biographical data of the patient such as the name, occupation, and marital status. Another element in the health history checklist is the reason that the patient is seeking care and the history of the patient’s current condition. The information sought under this section includes the cause of the health concern, the duration of the health concern, the major symptoms, and what alleviates the symptoms of the concern. The third element is the past health history of the patient. Under this element, the allergies, chronic illness, the recent surgical procedures, and the recent hospitalizations will be sought by the medical professional. The fourth element is the family history. Under family history, the significant health status of the family members is sought. The fifth element is the functional assessment which includes the daily activities of the patient. The last element is a cultural assessment which comprises of cultural nutritional and health beliefs.</w:t>
      </w:r>
    </w:p>
    <w:p w14:paraId="2F6970F5" w14:textId="77777777" w:rsidR="006E27AF" w:rsidRPr="00C602DB" w:rsidRDefault="006E27AF" w:rsidP="006E27AF">
      <w:pPr>
        <w:spacing w:line="480" w:lineRule="auto"/>
        <w:ind w:firstLine="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 xml:space="preserve">The third step in the assessment of the patient is the secondary assessment. The secondary assessment is an extension of the primary assessment and it's only carried out after all the life-threatening conditions have been corrected </w:t>
      </w:r>
      <w:sdt>
        <w:sdtPr>
          <w:rPr>
            <w:rFonts w:ascii="Times New Roman" w:hAnsi="Times New Roman" w:cs="Times New Roman"/>
            <w:sz w:val="24"/>
            <w:szCs w:val="24"/>
            <w:shd w:val="clear" w:color="auto" w:fill="FFFFFF"/>
          </w:rPr>
          <w:id w:val="1656413835"/>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Pil16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(Pillay et al., 2016)</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xml:space="preserve">. Under a secondary </w:t>
      </w:r>
      <w:r w:rsidRPr="00C602DB">
        <w:rPr>
          <w:rFonts w:ascii="Times New Roman" w:hAnsi="Times New Roman" w:cs="Times New Roman"/>
          <w:sz w:val="24"/>
          <w:szCs w:val="24"/>
          <w:shd w:val="clear" w:color="auto" w:fill="FFFFFF"/>
        </w:rPr>
        <w:lastRenderedPageBreak/>
        <w:t xml:space="preserve">assessment, the information sought includes the full set of vital signs. Under the section of vital signs, the nurses will monitor the oxygen saturation, undertake the ECG, and monitor the glucose levels </w:t>
      </w:r>
      <w:sdt>
        <w:sdtPr>
          <w:rPr>
            <w:rFonts w:ascii="Times New Roman" w:hAnsi="Times New Roman" w:cs="Times New Roman"/>
            <w:sz w:val="24"/>
            <w:szCs w:val="24"/>
            <w:shd w:val="clear" w:color="auto" w:fill="FFFFFF"/>
          </w:rPr>
          <w:id w:val="-837304854"/>
          <w:citation/>
        </w:sdtPr>
        <w:sdtContent>
          <w:r w:rsidRPr="00C602DB">
            <w:rPr>
              <w:rFonts w:ascii="Times New Roman" w:hAnsi="Times New Roman" w:cs="Times New Roman"/>
              <w:sz w:val="24"/>
              <w:szCs w:val="24"/>
              <w:shd w:val="clear" w:color="auto" w:fill="FFFFFF"/>
            </w:rPr>
            <w:fldChar w:fldCharType="begin"/>
          </w:r>
          <w:r w:rsidRPr="00C602DB">
            <w:rPr>
              <w:rFonts w:ascii="Times New Roman" w:hAnsi="Times New Roman" w:cs="Times New Roman"/>
              <w:sz w:val="24"/>
              <w:szCs w:val="24"/>
              <w:shd w:val="clear" w:color="auto" w:fill="FFFFFF"/>
            </w:rPr>
            <w:instrText xml:space="preserve"> CITATION Con15 \l 1033 </w:instrText>
          </w:r>
          <w:r w:rsidRPr="00C602DB">
            <w:rPr>
              <w:rFonts w:ascii="Times New Roman" w:hAnsi="Times New Roman" w:cs="Times New Roman"/>
              <w:sz w:val="24"/>
              <w:szCs w:val="24"/>
              <w:shd w:val="clear" w:color="auto" w:fill="FFFFFF"/>
            </w:rPr>
            <w:fldChar w:fldCharType="separate"/>
          </w:r>
          <w:r w:rsidRPr="00C602DB">
            <w:rPr>
              <w:rFonts w:ascii="Times New Roman" w:hAnsi="Times New Roman" w:cs="Times New Roman"/>
              <w:noProof/>
              <w:sz w:val="24"/>
              <w:szCs w:val="24"/>
              <w:shd w:val="clear" w:color="auto" w:fill="FFFFFF"/>
            </w:rPr>
            <w:t>(Considine &amp; Currey, 2015)</w:t>
          </w:r>
          <w:r w:rsidRPr="00C602DB">
            <w:rPr>
              <w:rFonts w:ascii="Times New Roman" w:hAnsi="Times New Roman" w:cs="Times New Roman"/>
              <w:sz w:val="24"/>
              <w:szCs w:val="24"/>
              <w:shd w:val="clear" w:color="auto" w:fill="FFFFFF"/>
            </w:rPr>
            <w:fldChar w:fldCharType="end"/>
          </w:r>
        </w:sdtContent>
      </w:sdt>
      <w:r w:rsidRPr="00C602DB">
        <w:rPr>
          <w:rFonts w:ascii="Times New Roman" w:hAnsi="Times New Roman" w:cs="Times New Roman"/>
          <w:sz w:val="24"/>
          <w:szCs w:val="24"/>
          <w:shd w:val="clear" w:color="auto" w:fill="FFFFFF"/>
        </w:rPr>
        <w:t>. After assessing the vital signs, the next step is giving the patients comfort. Most often, the patients will be experiencing pain due to injury or illness. The nurses must reassure the patient that their condition is manageable. Further to this, the nurses will also collect the history of the patient before carrying out the head to toe. Lastly, the nurses will inspect the posterior surfaces of the patient for abrasions. After the secondary assessment is done, the results of the assessment are provided to the relevant medical practitioners for action.</w:t>
      </w:r>
    </w:p>
    <w:p w14:paraId="7B1F2E42" w14:textId="77777777" w:rsidR="006E27AF" w:rsidRPr="006E27AF" w:rsidRDefault="006E27AF" w:rsidP="006E27AF">
      <w:pPr>
        <w:spacing w:line="480" w:lineRule="auto"/>
        <w:jc w:val="center"/>
        <w:rPr>
          <w:rFonts w:ascii="Times New Roman" w:hAnsi="Times New Roman" w:cs="Times New Roman"/>
          <w:b/>
          <w:bCs/>
          <w:sz w:val="24"/>
          <w:szCs w:val="24"/>
          <w:shd w:val="clear" w:color="auto" w:fill="FFFFFF"/>
        </w:rPr>
      </w:pPr>
      <w:r w:rsidRPr="006E27AF">
        <w:rPr>
          <w:rFonts w:ascii="Times New Roman" w:hAnsi="Times New Roman" w:cs="Times New Roman"/>
          <w:b/>
          <w:bCs/>
          <w:sz w:val="24"/>
          <w:szCs w:val="24"/>
          <w:shd w:val="clear" w:color="auto" w:fill="FFFFFF"/>
        </w:rPr>
        <w:t>Conclusion</w:t>
      </w:r>
    </w:p>
    <w:p w14:paraId="763E9036" w14:textId="01585B84" w:rsidR="006E27AF" w:rsidRDefault="006E27AF" w:rsidP="006E27AF">
      <w:pPr>
        <w:spacing w:line="480" w:lineRule="auto"/>
        <w:ind w:firstLine="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There are generally five steps of patient assessment and they include performing a scene size-up, performing a primary assessment, obtaining the medical history of the patient, and performing a secondary assessment before providing assessment. In performing a scene size-up, steps are taken to ensure the safety of the patients, the medical practitioners, and the bystanders. Under the primary assessment evaluation of the patient is done after the scene is made safe. In obtaining the medical history of the patient, the information sought includes the family health history and the health history of the patient. Under the secondary assessment, the vital signs are assessed. The last step is the provision of the assessment to the relevant medical practitioners for action.</w:t>
      </w:r>
    </w:p>
    <w:p w14:paraId="35BB9286" w14:textId="77F0E1AA" w:rsidR="006E27AF" w:rsidRDefault="006E27AF" w:rsidP="006E27AF">
      <w:pPr>
        <w:spacing w:line="480" w:lineRule="auto"/>
        <w:ind w:firstLine="720"/>
        <w:rPr>
          <w:rFonts w:ascii="Times New Roman" w:hAnsi="Times New Roman" w:cs="Times New Roman"/>
          <w:sz w:val="24"/>
          <w:szCs w:val="24"/>
          <w:shd w:val="clear" w:color="auto" w:fill="FFFFFF"/>
        </w:rPr>
      </w:pPr>
    </w:p>
    <w:p w14:paraId="6F0E2AE5" w14:textId="0D908204" w:rsidR="006E27AF" w:rsidRDefault="006E27AF" w:rsidP="006E27AF">
      <w:pPr>
        <w:spacing w:line="480" w:lineRule="auto"/>
        <w:ind w:firstLine="720"/>
        <w:rPr>
          <w:rFonts w:ascii="Times New Roman" w:hAnsi="Times New Roman" w:cs="Times New Roman"/>
          <w:sz w:val="24"/>
          <w:szCs w:val="24"/>
          <w:shd w:val="clear" w:color="auto" w:fill="FFFFFF"/>
        </w:rPr>
      </w:pPr>
    </w:p>
    <w:p w14:paraId="7BD87970" w14:textId="3AB7C169" w:rsidR="006E27AF" w:rsidRDefault="006E27AF" w:rsidP="006E27AF">
      <w:pPr>
        <w:spacing w:line="480" w:lineRule="auto"/>
        <w:ind w:firstLine="720"/>
        <w:rPr>
          <w:rFonts w:ascii="Times New Roman" w:hAnsi="Times New Roman" w:cs="Times New Roman"/>
          <w:sz w:val="24"/>
          <w:szCs w:val="24"/>
          <w:shd w:val="clear" w:color="auto" w:fill="FFFFFF"/>
        </w:rPr>
      </w:pPr>
    </w:p>
    <w:p w14:paraId="47226FBE" w14:textId="77777777" w:rsidR="006E27AF" w:rsidRPr="00C602DB" w:rsidRDefault="006E27AF" w:rsidP="006E27AF">
      <w:pPr>
        <w:spacing w:line="480" w:lineRule="auto"/>
        <w:ind w:firstLine="720"/>
        <w:rPr>
          <w:rFonts w:ascii="Times New Roman" w:hAnsi="Times New Roman" w:cs="Times New Roman"/>
          <w:sz w:val="24"/>
          <w:szCs w:val="24"/>
          <w:shd w:val="clear" w:color="auto" w:fill="FFFFFF"/>
        </w:rPr>
      </w:pPr>
    </w:p>
    <w:p w14:paraId="592F59BB" w14:textId="77777777" w:rsidR="006E27AF" w:rsidRPr="00C602DB" w:rsidRDefault="006E27AF" w:rsidP="006E27AF">
      <w:pPr>
        <w:spacing w:line="480" w:lineRule="auto"/>
        <w:jc w:val="center"/>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lastRenderedPageBreak/>
        <w:t>References</w:t>
      </w:r>
    </w:p>
    <w:p w14:paraId="08924D5A" w14:textId="77777777" w:rsidR="006E27AF" w:rsidRPr="00C602DB" w:rsidRDefault="006E27AF" w:rsidP="006E27AF">
      <w:pPr>
        <w:spacing w:line="480" w:lineRule="auto"/>
        <w:ind w:left="720" w:hanging="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Considine, J., &amp; Currey, J. (2015). Ensuring a proactive, evidence‐based, patient safety approach to patient assessment. </w:t>
      </w:r>
      <w:r w:rsidRPr="00C602DB">
        <w:rPr>
          <w:rFonts w:ascii="Times New Roman" w:hAnsi="Times New Roman" w:cs="Times New Roman"/>
          <w:i/>
          <w:iCs/>
          <w:sz w:val="24"/>
          <w:szCs w:val="24"/>
          <w:shd w:val="clear" w:color="auto" w:fill="FFFFFF"/>
        </w:rPr>
        <w:t>Journal of clinical nursing</w:t>
      </w:r>
      <w:r w:rsidRPr="00C602DB">
        <w:rPr>
          <w:rFonts w:ascii="Times New Roman" w:hAnsi="Times New Roman" w:cs="Times New Roman"/>
          <w:sz w:val="24"/>
          <w:szCs w:val="24"/>
          <w:shd w:val="clear" w:color="auto" w:fill="FFFFFF"/>
        </w:rPr>
        <w:t>, </w:t>
      </w:r>
      <w:r w:rsidRPr="00C602DB">
        <w:rPr>
          <w:rFonts w:ascii="Times New Roman" w:hAnsi="Times New Roman" w:cs="Times New Roman"/>
          <w:i/>
          <w:iCs/>
          <w:sz w:val="24"/>
          <w:szCs w:val="24"/>
          <w:shd w:val="clear" w:color="auto" w:fill="FFFFFF"/>
        </w:rPr>
        <w:t>24</w:t>
      </w:r>
      <w:r w:rsidRPr="00C602DB">
        <w:rPr>
          <w:rFonts w:ascii="Times New Roman" w:hAnsi="Times New Roman" w:cs="Times New Roman"/>
          <w:sz w:val="24"/>
          <w:szCs w:val="24"/>
          <w:shd w:val="clear" w:color="auto" w:fill="FFFFFF"/>
        </w:rPr>
        <w:t>(1-2), 300-307.</w:t>
      </w:r>
    </w:p>
    <w:p w14:paraId="6FAE372E" w14:textId="77777777" w:rsidR="006E27AF" w:rsidRPr="00C602DB" w:rsidRDefault="006E27AF" w:rsidP="006E27AF">
      <w:pPr>
        <w:spacing w:line="480" w:lineRule="auto"/>
        <w:ind w:left="720" w:hanging="720"/>
        <w:rPr>
          <w:rFonts w:ascii="Times New Roman" w:hAnsi="Times New Roman" w:cs="Times New Roman"/>
          <w:sz w:val="24"/>
          <w:szCs w:val="24"/>
          <w:shd w:val="clear" w:color="auto" w:fill="FFFFFF"/>
        </w:rPr>
      </w:pPr>
      <w:r w:rsidRPr="00C602DB">
        <w:rPr>
          <w:rFonts w:ascii="Times New Roman" w:hAnsi="Times New Roman" w:cs="Times New Roman"/>
          <w:sz w:val="24"/>
          <w:szCs w:val="24"/>
          <w:shd w:val="clear" w:color="auto" w:fill="FFFFFF"/>
        </w:rPr>
        <w:t xml:space="preserve">Hagiwara, M. A., Nilsson, L., </w:t>
      </w:r>
      <w:proofErr w:type="spellStart"/>
      <w:r w:rsidRPr="00C602DB">
        <w:rPr>
          <w:rFonts w:ascii="Times New Roman" w:hAnsi="Times New Roman" w:cs="Times New Roman"/>
          <w:sz w:val="24"/>
          <w:szCs w:val="24"/>
          <w:shd w:val="clear" w:color="auto" w:fill="FFFFFF"/>
        </w:rPr>
        <w:t>Strömsöe</w:t>
      </w:r>
      <w:proofErr w:type="spellEnd"/>
      <w:r w:rsidRPr="00C602DB">
        <w:rPr>
          <w:rFonts w:ascii="Times New Roman" w:hAnsi="Times New Roman" w:cs="Times New Roman"/>
          <w:sz w:val="24"/>
          <w:szCs w:val="24"/>
          <w:shd w:val="clear" w:color="auto" w:fill="FFFFFF"/>
        </w:rPr>
        <w:t xml:space="preserve">, A., </w:t>
      </w:r>
      <w:proofErr w:type="spellStart"/>
      <w:r w:rsidRPr="00C602DB">
        <w:rPr>
          <w:rFonts w:ascii="Times New Roman" w:hAnsi="Times New Roman" w:cs="Times New Roman"/>
          <w:sz w:val="24"/>
          <w:szCs w:val="24"/>
          <w:shd w:val="clear" w:color="auto" w:fill="FFFFFF"/>
        </w:rPr>
        <w:t>Axelsson</w:t>
      </w:r>
      <w:proofErr w:type="spellEnd"/>
      <w:r w:rsidRPr="00C602DB">
        <w:rPr>
          <w:rFonts w:ascii="Times New Roman" w:hAnsi="Times New Roman" w:cs="Times New Roman"/>
          <w:sz w:val="24"/>
          <w:szCs w:val="24"/>
          <w:shd w:val="clear" w:color="auto" w:fill="FFFFFF"/>
        </w:rPr>
        <w:t xml:space="preserve">, C., </w:t>
      </w:r>
      <w:proofErr w:type="spellStart"/>
      <w:r w:rsidRPr="00C602DB">
        <w:rPr>
          <w:rFonts w:ascii="Times New Roman" w:hAnsi="Times New Roman" w:cs="Times New Roman"/>
          <w:sz w:val="24"/>
          <w:szCs w:val="24"/>
          <w:shd w:val="clear" w:color="auto" w:fill="FFFFFF"/>
        </w:rPr>
        <w:t>Kängström</w:t>
      </w:r>
      <w:proofErr w:type="spellEnd"/>
      <w:r w:rsidRPr="00C602DB">
        <w:rPr>
          <w:rFonts w:ascii="Times New Roman" w:hAnsi="Times New Roman" w:cs="Times New Roman"/>
          <w:sz w:val="24"/>
          <w:szCs w:val="24"/>
          <w:shd w:val="clear" w:color="auto" w:fill="FFFFFF"/>
        </w:rPr>
        <w:t xml:space="preserve">, A., &amp; </w:t>
      </w:r>
      <w:proofErr w:type="spellStart"/>
      <w:r w:rsidRPr="00C602DB">
        <w:rPr>
          <w:rFonts w:ascii="Times New Roman" w:hAnsi="Times New Roman" w:cs="Times New Roman"/>
          <w:sz w:val="24"/>
          <w:szCs w:val="24"/>
          <w:shd w:val="clear" w:color="auto" w:fill="FFFFFF"/>
        </w:rPr>
        <w:t>Herlitz</w:t>
      </w:r>
      <w:proofErr w:type="spellEnd"/>
      <w:r w:rsidRPr="00C602DB">
        <w:rPr>
          <w:rFonts w:ascii="Times New Roman" w:hAnsi="Times New Roman" w:cs="Times New Roman"/>
          <w:sz w:val="24"/>
          <w:szCs w:val="24"/>
          <w:shd w:val="clear" w:color="auto" w:fill="FFFFFF"/>
        </w:rPr>
        <w:t>, J. (2016). Patient safety and patient assessment in pre-hospital care: a study protocol. </w:t>
      </w:r>
      <w:r w:rsidRPr="00C602DB">
        <w:rPr>
          <w:rFonts w:ascii="Times New Roman" w:hAnsi="Times New Roman" w:cs="Times New Roman"/>
          <w:i/>
          <w:iCs/>
          <w:sz w:val="24"/>
          <w:szCs w:val="24"/>
          <w:shd w:val="clear" w:color="auto" w:fill="FFFFFF"/>
        </w:rPr>
        <w:t>Scandinavian journal of trauma, resuscitation and emergency medicine</w:t>
      </w:r>
      <w:r w:rsidRPr="00C602DB">
        <w:rPr>
          <w:rFonts w:ascii="Times New Roman" w:hAnsi="Times New Roman" w:cs="Times New Roman"/>
          <w:sz w:val="24"/>
          <w:szCs w:val="24"/>
          <w:shd w:val="clear" w:color="auto" w:fill="FFFFFF"/>
        </w:rPr>
        <w:t>, </w:t>
      </w:r>
      <w:r w:rsidRPr="00C602DB">
        <w:rPr>
          <w:rFonts w:ascii="Times New Roman" w:hAnsi="Times New Roman" w:cs="Times New Roman"/>
          <w:i/>
          <w:iCs/>
          <w:sz w:val="24"/>
          <w:szCs w:val="24"/>
          <w:shd w:val="clear" w:color="auto" w:fill="FFFFFF"/>
        </w:rPr>
        <w:t>24</w:t>
      </w:r>
      <w:r w:rsidRPr="00C602DB">
        <w:rPr>
          <w:rFonts w:ascii="Times New Roman" w:hAnsi="Times New Roman" w:cs="Times New Roman"/>
          <w:sz w:val="24"/>
          <w:szCs w:val="24"/>
          <w:shd w:val="clear" w:color="auto" w:fill="FFFFFF"/>
        </w:rPr>
        <w:t>(1), 14.</w:t>
      </w:r>
    </w:p>
    <w:p w14:paraId="0987D67A" w14:textId="77777777" w:rsidR="006E27AF" w:rsidRPr="00C602DB" w:rsidRDefault="006E27AF" w:rsidP="006E27AF">
      <w:pPr>
        <w:spacing w:line="480" w:lineRule="auto"/>
        <w:ind w:left="720" w:hanging="720"/>
        <w:rPr>
          <w:rFonts w:ascii="Times New Roman" w:hAnsi="Times New Roman" w:cs="Times New Roman"/>
          <w:sz w:val="24"/>
          <w:szCs w:val="24"/>
        </w:rPr>
      </w:pPr>
      <w:r w:rsidRPr="00C602DB">
        <w:rPr>
          <w:rFonts w:ascii="Times New Roman" w:hAnsi="Times New Roman" w:cs="Times New Roman"/>
          <w:sz w:val="24"/>
          <w:szCs w:val="24"/>
          <w:shd w:val="clear" w:color="auto" w:fill="FFFFFF"/>
        </w:rPr>
        <w:t xml:space="preserve">Pillay, B., </w:t>
      </w:r>
      <w:proofErr w:type="spellStart"/>
      <w:r w:rsidRPr="00C602DB">
        <w:rPr>
          <w:rFonts w:ascii="Times New Roman" w:hAnsi="Times New Roman" w:cs="Times New Roman"/>
          <w:sz w:val="24"/>
          <w:szCs w:val="24"/>
          <w:shd w:val="clear" w:color="auto" w:fill="FFFFFF"/>
        </w:rPr>
        <w:t>Wootten</w:t>
      </w:r>
      <w:proofErr w:type="spellEnd"/>
      <w:r w:rsidRPr="00C602DB">
        <w:rPr>
          <w:rFonts w:ascii="Times New Roman" w:hAnsi="Times New Roman" w:cs="Times New Roman"/>
          <w:sz w:val="24"/>
          <w:szCs w:val="24"/>
          <w:shd w:val="clear" w:color="auto" w:fill="FFFFFF"/>
        </w:rPr>
        <w:t>, A. C., Crowe, H., Corcoran, N., Tran, B., Bowden, P., ... &amp; Costello, A. J. (2016). The impact of multidisciplinary team meetings on patient assessment, management and outcomes in oncology settings: a systematic review of the literature. </w:t>
      </w:r>
      <w:r w:rsidRPr="00C602DB">
        <w:rPr>
          <w:rFonts w:ascii="Times New Roman" w:hAnsi="Times New Roman" w:cs="Times New Roman"/>
          <w:i/>
          <w:iCs/>
          <w:sz w:val="24"/>
          <w:szCs w:val="24"/>
          <w:shd w:val="clear" w:color="auto" w:fill="FFFFFF"/>
        </w:rPr>
        <w:t>Cancer treatment reviews</w:t>
      </w:r>
      <w:r w:rsidRPr="00C602DB">
        <w:rPr>
          <w:rFonts w:ascii="Times New Roman" w:hAnsi="Times New Roman" w:cs="Times New Roman"/>
          <w:sz w:val="24"/>
          <w:szCs w:val="24"/>
          <w:shd w:val="clear" w:color="auto" w:fill="FFFFFF"/>
        </w:rPr>
        <w:t>, </w:t>
      </w:r>
      <w:r w:rsidRPr="00C602DB">
        <w:rPr>
          <w:rFonts w:ascii="Times New Roman" w:hAnsi="Times New Roman" w:cs="Times New Roman"/>
          <w:i/>
          <w:iCs/>
          <w:sz w:val="24"/>
          <w:szCs w:val="24"/>
          <w:shd w:val="clear" w:color="auto" w:fill="FFFFFF"/>
        </w:rPr>
        <w:t>42</w:t>
      </w:r>
      <w:r w:rsidRPr="00C602DB">
        <w:rPr>
          <w:rFonts w:ascii="Times New Roman" w:hAnsi="Times New Roman" w:cs="Times New Roman"/>
          <w:sz w:val="24"/>
          <w:szCs w:val="24"/>
          <w:shd w:val="clear" w:color="auto" w:fill="FFFFFF"/>
        </w:rPr>
        <w:t>, 56-72.</w:t>
      </w:r>
    </w:p>
    <w:p w14:paraId="071664EF" w14:textId="5EB80AB1" w:rsidR="00493B5B" w:rsidRPr="00364D82" w:rsidRDefault="00493B5B" w:rsidP="006E27AF">
      <w:pPr>
        <w:spacing w:line="480" w:lineRule="auto"/>
        <w:ind w:firstLine="720"/>
        <w:jc w:val="center"/>
        <w:rPr>
          <w:rFonts w:ascii="Times New Roman" w:hAnsi="Times New Roman" w:cs="Times New Roman"/>
          <w:sz w:val="24"/>
          <w:szCs w:val="24"/>
        </w:rPr>
      </w:pPr>
    </w:p>
    <w:sectPr w:rsidR="00493B5B" w:rsidRPr="00364D82" w:rsidSect="00493B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EA21D8" w14:textId="77777777" w:rsidR="00B61331" w:rsidRDefault="00B61331" w:rsidP="00493B5B">
      <w:pPr>
        <w:spacing w:after="0" w:line="240" w:lineRule="auto"/>
      </w:pPr>
      <w:r>
        <w:separator/>
      </w:r>
    </w:p>
  </w:endnote>
  <w:endnote w:type="continuationSeparator" w:id="0">
    <w:p w14:paraId="59F4FC1B" w14:textId="77777777" w:rsidR="00B61331" w:rsidRDefault="00B61331" w:rsidP="00493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F994C2" w14:textId="77777777" w:rsidR="00B61331" w:rsidRDefault="00B61331" w:rsidP="00493B5B">
      <w:pPr>
        <w:spacing w:after="0" w:line="240" w:lineRule="auto"/>
      </w:pPr>
      <w:r>
        <w:separator/>
      </w:r>
    </w:p>
  </w:footnote>
  <w:footnote w:type="continuationSeparator" w:id="0">
    <w:p w14:paraId="63B689FE" w14:textId="77777777" w:rsidR="00B61331" w:rsidRDefault="00B61331" w:rsidP="00493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2998148"/>
      <w:docPartObj>
        <w:docPartGallery w:val="Page Numbers (Top of Page)"/>
        <w:docPartUnique/>
      </w:docPartObj>
    </w:sdtPr>
    <w:sdtEndPr>
      <w:rPr>
        <w:noProof/>
      </w:rPr>
    </w:sdtEndPr>
    <w:sdtContent>
      <w:p w14:paraId="7AA9865A" w14:textId="36C7D65B" w:rsidR="00493B5B" w:rsidRDefault="006E27AF">
        <w:pPr>
          <w:pStyle w:val="Header"/>
          <w:jc w:val="right"/>
        </w:pPr>
        <w:r>
          <w:rPr>
            <w:rFonts w:ascii="Times New Roman" w:hAnsi="Times New Roman" w:cs="Times New Roman"/>
            <w:sz w:val="24"/>
            <w:szCs w:val="24"/>
          </w:rPr>
          <w:t>PATIENT ASSESSMENT</w:t>
        </w:r>
        <w:r>
          <w:rPr>
            <w:rFonts w:ascii="Times New Roman" w:hAnsi="Times New Roman" w:cs="Times New Roman"/>
            <w:sz w:val="24"/>
            <w:szCs w:val="24"/>
          </w:rPr>
          <w:tab/>
        </w:r>
        <w:r w:rsidR="00493B5B">
          <w:rPr>
            <w:rFonts w:ascii="Times New Roman" w:hAnsi="Times New Roman" w:cs="Times New Roman"/>
            <w:sz w:val="24"/>
            <w:szCs w:val="24"/>
          </w:rPr>
          <w:tab/>
        </w:r>
        <w:r w:rsidR="00493B5B">
          <w:fldChar w:fldCharType="begin"/>
        </w:r>
        <w:r w:rsidR="00493B5B">
          <w:instrText xml:space="preserve"> PAGE   \* MERGEFORMAT </w:instrText>
        </w:r>
        <w:r w:rsidR="00493B5B">
          <w:fldChar w:fldCharType="separate"/>
        </w:r>
        <w:r w:rsidR="00493B5B">
          <w:rPr>
            <w:noProof/>
          </w:rPr>
          <w:t>2</w:t>
        </w:r>
        <w:r w:rsidR="00493B5B">
          <w:rPr>
            <w:noProof/>
          </w:rPr>
          <w:fldChar w:fldCharType="end"/>
        </w:r>
      </w:p>
    </w:sdtContent>
  </w:sdt>
  <w:p w14:paraId="2204BE67" w14:textId="77777777" w:rsidR="00493B5B" w:rsidRDefault="00493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21547905"/>
      <w:docPartObj>
        <w:docPartGallery w:val="Page Numbers (Top of Page)"/>
        <w:docPartUnique/>
      </w:docPartObj>
    </w:sdtPr>
    <w:sdtEndPr>
      <w:rPr>
        <w:noProof/>
      </w:rPr>
    </w:sdtEndPr>
    <w:sdtContent>
      <w:p w14:paraId="5DDB78BA" w14:textId="1E21C3F7" w:rsidR="00493B5B" w:rsidRPr="00493B5B" w:rsidRDefault="00493B5B" w:rsidP="008A0539">
        <w:pPr>
          <w:spacing w:line="480" w:lineRule="auto"/>
          <w:rPr>
            <w:rFonts w:ascii="Times New Roman" w:hAnsi="Times New Roman" w:cs="Times New Roman"/>
            <w:sz w:val="24"/>
            <w:szCs w:val="24"/>
          </w:rPr>
        </w:pPr>
        <w:r w:rsidRPr="00493B5B">
          <w:rPr>
            <w:rFonts w:ascii="Times New Roman" w:hAnsi="Times New Roman" w:cs="Times New Roman"/>
            <w:sz w:val="24"/>
            <w:szCs w:val="24"/>
          </w:rPr>
          <w:t xml:space="preserve">Running head: </w:t>
        </w:r>
        <w:r w:rsidR="006E27AF">
          <w:rPr>
            <w:rFonts w:ascii="Times New Roman" w:hAnsi="Times New Roman" w:cs="Times New Roman"/>
            <w:sz w:val="24"/>
            <w:szCs w:val="24"/>
          </w:rPr>
          <w:t>PATIENT ASSESSMENT</w:t>
        </w:r>
        <w:r w:rsidR="006E27AF">
          <w:rPr>
            <w:rFonts w:ascii="Times New Roman" w:hAnsi="Times New Roman" w:cs="Times New Roman"/>
            <w:sz w:val="24"/>
            <w:szCs w:val="24"/>
          </w:rPr>
          <w:tab/>
        </w:r>
        <w:r w:rsidR="006E27AF">
          <w:rPr>
            <w:rFonts w:ascii="Times New Roman" w:hAnsi="Times New Roman" w:cs="Times New Roman"/>
            <w:sz w:val="24"/>
            <w:szCs w:val="24"/>
          </w:rPr>
          <w:tab/>
        </w:r>
        <w:r w:rsidR="006E27AF">
          <w:rPr>
            <w:rFonts w:ascii="Times New Roman" w:hAnsi="Times New Roman" w:cs="Times New Roman"/>
            <w:sz w:val="24"/>
            <w:szCs w:val="24"/>
          </w:rPr>
          <w:tab/>
        </w:r>
        <w:r w:rsidR="008A0539">
          <w:rPr>
            <w:rFonts w:ascii="Times New Roman" w:hAnsi="Times New Roman" w:cs="Times New Roman"/>
            <w:sz w:val="24"/>
            <w:szCs w:val="24"/>
          </w:rPr>
          <w:tab/>
        </w:r>
        <w:r w:rsidR="008A0539">
          <w:rPr>
            <w:rFonts w:ascii="Times New Roman" w:hAnsi="Times New Roman" w:cs="Times New Roman"/>
            <w:sz w:val="24"/>
            <w:szCs w:val="24"/>
          </w:rPr>
          <w:tab/>
          <w:t xml:space="preserve">           </w:t>
        </w:r>
        <w:r w:rsidRPr="00493B5B">
          <w:rPr>
            <w:rFonts w:ascii="Times New Roman" w:hAnsi="Times New Roman" w:cs="Times New Roman"/>
            <w:sz w:val="24"/>
            <w:szCs w:val="24"/>
          </w:rPr>
          <w:tab/>
        </w:r>
        <w:r w:rsidRPr="00493B5B">
          <w:rPr>
            <w:rFonts w:ascii="Times New Roman" w:hAnsi="Times New Roman" w:cs="Times New Roman"/>
            <w:sz w:val="24"/>
            <w:szCs w:val="24"/>
          </w:rPr>
          <w:tab/>
        </w:r>
        <w:r w:rsidR="008A0539">
          <w:rPr>
            <w:rFonts w:ascii="Times New Roman" w:hAnsi="Times New Roman" w:cs="Times New Roman"/>
            <w:sz w:val="24"/>
            <w:szCs w:val="24"/>
          </w:rPr>
          <w:t xml:space="preserve">          </w:t>
        </w:r>
        <w:r w:rsidRPr="00493B5B">
          <w:rPr>
            <w:rFonts w:ascii="Times New Roman" w:hAnsi="Times New Roman" w:cs="Times New Roman"/>
            <w:sz w:val="24"/>
            <w:szCs w:val="24"/>
          </w:rPr>
          <w:fldChar w:fldCharType="begin"/>
        </w:r>
        <w:r w:rsidRPr="00493B5B">
          <w:rPr>
            <w:rFonts w:ascii="Times New Roman" w:hAnsi="Times New Roman" w:cs="Times New Roman"/>
            <w:sz w:val="24"/>
            <w:szCs w:val="24"/>
          </w:rPr>
          <w:instrText xml:space="preserve"> PAGE   \* MERGEFORMAT </w:instrText>
        </w:r>
        <w:r w:rsidRPr="00493B5B">
          <w:rPr>
            <w:rFonts w:ascii="Times New Roman" w:hAnsi="Times New Roman" w:cs="Times New Roman"/>
            <w:sz w:val="24"/>
            <w:szCs w:val="24"/>
          </w:rPr>
          <w:fldChar w:fldCharType="separate"/>
        </w:r>
        <w:r w:rsidRPr="00493B5B">
          <w:rPr>
            <w:rFonts w:ascii="Times New Roman" w:hAnsi="Times New Roman" w:cs="Times New Roman"/>
            <w:noProof/>
            <w:sz w:val="24"/>
            <w:szCs w:val="24"/>
          </w:rPr>
          <w:t>2</w:t>
        </w:r>
        <w:r w:rsidRPr="00493B5B">
          <w:rPr>
            <w:rFonts w:ascii="Times New Roman" w:hAnsi="Times New Roman" w:cs="Times New Roman"/>
            <w:noProof/>
            <w:sz w:val="24"/>
            <w:szCs w:val="24"/>
          </w:rPr>
          <w:fldChar w:fldCharType="end"/>
        </w:r>
        <w:r w:rsidR="008A0539">
          <w:rPr>
            <w:rFonts w:ascii="Times New Roman" w:hAnsi="Times New Roman" w:cs="Times New Roman"/>
            <w:noProof/>
            <w:sz w:val="24"/>
            <w:szCs w:val="24"/>
          </w:rPr>
          <w:t xml:space="preserve"> </w:t>
        </w:r>
      </w:p>
    </w:sdtContent>
  </w:sdt>
  <w:p w14:paraId="799F0FE5" w14:textId="77777777" w:rsidR="00493B5B" w:rsidRPr="00493B5B" w:rsidRDefault="00493B5B" w:rsidP="00493B5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4AA"/>
    <w:rsid w:val="00005C90"/>
    <w:rsid w:val="00177D24"/>
    <w:rsid w:val="002A02D2"/>
    <w:rsid w:val="00361F57"/>
    <w:rsid w:val="00364D82"/>
    <w:rsid w:val="00493B5B"/>
    <w:rsid w:val="006C5100"/>
    <w:rsid w:val="006E27AF"/>
    <w:rsid w:val="008344AA"/>
    <w:rsid w:val="008A0539"/>
    <w:rsid w:val="009456C7"/>
    <w:rsid w:val="00956DFB"/>
    <w:rsid w:val="009F60CA"/>
    <w:rsid w:val="00A66490"/>
    <w:rsid w:val="00B56559"/>
    <w:rsid w:val="00B61331"/>
    <w:rsid w:val="00BF2B87"/>
    <w:rsid w:val="00D04298"/>
    <w:rsid w:val="00F52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4D51"/>
  <w15:chartTrackingRefBased/>
  <w15:docId w15:val="{AC06DDC2-26E1-4D3A-866A-B0569F9D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44A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93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B5B"/>
  </w:style>
  <w:style w:type="paragraph" w:styleId="Footer">
    <w:name w:val="footer"/>
    <w:basedOn w:val="Normal"/>
    <w:link w:val="FooterChar"/>
    <w:uiPriority w:val="99"/>
    <w:unhideWhenUsed/>
    <w:rsid w:val="00493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4741013">
      <w:bodyDiv w:val="1"/>
      <w:marLeft w:val="0"/>
      <w:marRight w:val="0"/>
      <w:marTop w:val="0"/>
      <w:marBottom w:val="0"/>
      <w:divBdr>
        <w:top w:val="none" w:sz="0" w:space="0" w:color="auto"/>
        <w:left w:val="none" w:sz="0" w:space="0" w:color="auto"/>
        <w:bottom w:val="none" w:sz="0" w:space="0" w:color="auto"/>
        <w:right w:val="none" w:sz="0" w:space="0" w:color="auto"/>
      </w:divBdr>
    </w:div>
    <w:div w:id="1048411662">
      <w:bodyDiv w:val="1"/>
      <w:marLeft w:val="0"/>
      <w:marRight w:val="0"/>
      <w:marTop w:val="0"/>
      <w:marBottom w:val="0"/>
      <w:divBdr>
        <w:top w:val="none" w:sz="0" w:space="0" w:color="auto"/>
        <w:left w:val="none" w:sz="0" w:space="0" w:color="auto"/>
        <w:bottom w:val="none" w:sz="0" w:space="0" w:color="auto"/>
        <w:right w:val="none" w:sz="0" w:space="0" w:color="auto"/>
      </w:divBdr>
    </w:div>
    <w:div w:id="1276668754">
      <w:bodyDiv w:val="1"/>
      <w:marLeft w:val="0"/>
      <w:marRight w:val="0"/>
      <w:marTop w:val="0"/>
      <w:marBottom w:val="0"/>
      <w:divBdr>
        <w:top w:val="none" w:sz="0" w:space="0" w:color="auto"/>
        <w:left w:val="none" w:sz="0" w:space="0" w:color="auto"/>
        <w:bottom w:val="none" w:sz="0" w:space="0" w:color="auto"/>
        <w:right w:val="none" w:sz="0" w:space="0" w:color="auto"/>
      </w:divBdr>
    </w:div>
    <w:div w:id="1505558876">
      <w:bodyDiv w:val="1"/>
      <w:marLeft w:val="0"/>
      <w:marRight w:val="0"/>
      <w:marTop w:val="0"/>
      <w:marBottom w:val="0"/>
      <w:divBdr>
        <w:top w:val="none" w:sz="0" w:space="0" w:color="auto"/>
        <w:left w:val="none" w:sz="0" w:space="0" w:color="auto"/>
        <w:bottom w:val="none" w:sz="0" w:space="0" w:color="auto"/>
        <w:right w:val="none" w:sz="0" w:space="0" w:color="auto"/>
      </w:divBdr>
    </w:div>
    <w:div w:id="2015840009">
      <w:bodyDiv w:val="1"/>
      <w:marLeft w:val="0"/>
      <w:marRight w:val="0"/>
      <w:marTop w:val="0"/>
      <w:marBottom w:val="0"/>
      <w:divBdr>
        <w:top w:val="none" w:sz="0" w:space="0" w:color="auto"/>
        <w:left w:val="none" w:sz="0" w:space="0" w:color="auto"/>
        <w:bottom w:val="none" w:sz="0" w:space="0" w:color="auto"/>
        <w:right w:val="none" w:sz="0" w:space="0" w:color="auto"/>
      </w:divBdr>
    </w:div>
    <w:div w:id="202731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Kir15</b:Tag>
    <b:SourceType>Book</b:SourceType>
    <b:Guid>{F4AC6333-91BD-4C0A-B113-3B497C18DBC5}</b:Guid>
    <b:Title>Kirillov et al.</b:Title>
    <b:Year>2015</b:Year>
    <b:RefOrder>2</b:RefOrder>
  </b:Source>
  <b:Source>
    <b:Tag>Emm163</b:Tag>
    <b:SourceType>Book</b:SourceType>
    <b:Guid>{FB093D36-393E-436D-98D9-AB09D2376CC3}</b:Guid>
    <b:Title>Emmer &amp; Evertson</b:Title>
    <b:Year>2016</b:Year>
    <b:RefOrder>1</b:RefOrder>
  </b:Source>
  <b:Source>
    <b:Tag>Con15</b:Tag>
    <b:SourceType>Book</b:SourceType>
    <b:Guid>{FCFF76D2-86E2-4C08-AFCE-C49C91B20FBA}</b:Guid>
    <b:Title>Considine &amp; Currey</b:Title>
    <b:Year>2015</b:Year>
    <b:RefOrder>1</b:RefOrder>
  </b:Source>
  <b:Source>
    <b:Tag>Hag16</b:Tag>
    <b:SourceType>Book</b:SourceType>
    <b:Guid>{B5AF8459-8D29-434A-9DD2-81216449ADDE}</b:Guid>
    <b:Title>Hagiwara et al.</b:Title>
    <b:Year>2016</b:Year>
    <b:RefOrder>2</b:RefOrder>
  </b:Source>
  <b:Source>
    <b:Tag>Pil16</b:Tag>
    <b:SourceType>Book</b:SourceType>
    <b:Guid>{BE402AA3-7C3D-4445-B639-7FC9DE087476}</b:Guid>
    <b:Title>Pillay et al.</b:Title>
    <b:Year>2016</b:Year>
    <b:RefOrder>3</b:RefOrder>
  </b:Source>
</b:Sources>
</file>

<file path=customXml/itemProps1.xml><?xml version="1.0" encoding="utf-8"?>
<ds:datastoreItem xmlns:ds="http://schemas.openxmlformats.org/officeDocument/2006/customXml" ds:itemID="{1E07745C-1F12-4290-BFEB-6CB98CB2B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2020-07-10T21:03:00Z</dcterms:created>
  <dcterms:modified xsi:type="dcterms:W3CDTF">2020-07-10T21:03:00Z</dcterms:modified>
</cp:coreProperties>
</file>